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Унитарное предприятие «Волна»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(УП «Волна»)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3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назначении ответственного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за ведение воинского учета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Бочкину Ирину Геннадьевну, специалиста по кадрам, назначить ответственной за ведение воинского учета в организации.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В случае отсутствия Бочкиной И.Г. на рабочем месте (отпуск, командировка, болезнь и т.д.) назначить исполняющим обязанности юрисконсульта Мишкина Александра Петровича.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StudioScriptCTT" w:hAnsi="StudioScriptCTT"/>
          <w:color w:val="000000"/>
          <w:sz w:val="20"/>
        </w:rPr>
        <w:t>Мельник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С.Г.Мельник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ознакомлены: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Бочкина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И.Г.Бочкина</w:t>
      </w:r>
    </w:p>
    <w:p w14:paraId="12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Kobzar KS" w:hAnsi="Kobzar KS"/>
          <w:color w:val="000000"/>
          <w:sz w:val="20"/>
        </w:rPr>
        <w:t>Мишкин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А.П.Мишкин</w:t>
      </w:r>
    </w:p>
    <w:p w14:paraId="13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</w:p>
    <w:p w14:paraId="14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2024-01-10T12:33:56Z</dcterms:modified>
</cp:coreProperties>
</file>